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17920" cy="349943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ro_growth_system_imagege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4994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統一集團的範疇經濟</w:t>
      </w:r>
    </w:p>
    <w:p>
      <w:pPr>
        <w:pStyle w:val="Heading2"/>
      </w:pPr>
      <w:r>
        <w:t>從合資入股到生活入口的在地化經營能力</w:t>
      </w:r>
    </w:p>
    <w:p>
      <w:r>
        <w:t>本案以 2026 年 5 月 21 日以前可取得的公開資料為基礎。它要處理的不是單一交易成敗，而是一個更大的策略問題：當一家食品與流通集團長期累積通路、物流、會員、採購、品牌經營與投資治理能力之後，這些能力究竟只是規模放大，還是已經形成真正的範疇經濟？如果答案是後者，這套能力又在哪些情境下會失效？</w:t>
      </w:r>
    </w:p>
    <w:p>
      <w:pPr>
        <w:pStyle w:val="Heading2"/>
      </w:pPr>
      <w:r>
        <w:t>開場：LOPIA 進入統一系統之前</w:t>
      </w:r>
    </w:p>
    <w:p>
      <w:r>
        <w:t>2026 年 4 月 30 日，統一超商董事會通過一項日本零售相關投資案。依公開資訊觀測站重大訊息及統一超 2026 年第一季財務報告揭露，統一超擬向 Lopia Co., Ltd. 取得臺灣兩間新設公司部分股權：零售超市事業 51%，食品加工事業 49%。交易總金額為日幣 102.72 億元，折合約新台幣 20.54 億元；交易條件之一，是取得公平交易委員會不禁止結合。統一超財報也揭露，交易預計於 2026 年底完成交割。</w:t>
      </w:r>
    </w:p>
    <w:p>
      <w:r>
        <w:t>也就是說，在本案的時間點，LOPIA 交易仍是 pending transaction，不能寫成已完成整併。這個限制很重要。交易尚未交割時，管理團隊能做的是整合設計、風險準備與監管回應；交易完成後，才會進入執行與成效評估。</w:t>
      </w:r>
    </w:p>
    <w:p>
      <w:r>
        <w:t>LOPIA 在日本以肉品、生鮮、熟食與高 CP 值形象受到注意。它在臺灣已有門市，也累積一批對日式超市、肉品、熟食與進口商品有期待的顧客。對統一超而言，這筆投資不只是多開一種超市店型。它可能補上生鮮與食品加工能力，並與既有便利商店、家樂福、Mia C'bon、中央廚房、物流系統、OPENPOINT 會員與集團採購產生連動。</w:t>
      </w:r>
    </w:p>
    <w:p>
      <w:r>
        <w:t>但問題也在這裡。若統一真的取得 LOPIA 臺灣零售事業控制股，應該迅速把 LOPIA 接上集團系統，還是先保留它的品牌節奏與商品語言？短效期生鮮能否進入中央廚房與鮮食體系，降低報廢、提高毛利？OPENPOINT 會員能否替 LOPIA 帶來新的客流，還是會讓 LOPIA 變成另一個被促銷活動包圍的通路品牌？當統一把物流、採購、展店與會員都接上去，顧客感受到的會是效率提升，還是品牌原味流失？</w:t>
      </w:r>
    </w:p>
    <w:p>
      <w:r>
        <w:t>這些問題不能只靠直覺回答。統一集團過去幾十年的成長，確實留下許多看似相似的路徑：授權、合資、入股、長期共管、在地化營運、提高控制權，再把外部品牌放進更大的流通與食品系統。然而，這些案例是否真的構成一套可重複的能力，仍需要回到證據檢查。</w:t>
      </w:r>
    </w:p>
    <w:p>
      <w:r>
        <w:t>本案的核心問題是：統一集團是否已經把臺灣本地制度、人脈、通路密度、物流、會員資料、中央廚房、品牌在地化與人才治理，組合成一套可重複的「入股、共管、吸收、再部署」經營系統？如果答案是肯定的，統一的競爭優勢就不只是規模大，而是一種範疇經濟。若答案是否定或有限，統一的多角化也可能只是大型集團的資產堆疊，甚至在某些品牌上帶來反效果。</w:t>
      </w:r>
    </w:p>
    <w:p>
      <w:pPr>
        <w:pStyle w:val="Heading2"/>
      </w:pPr>
      <w:r>
        <w:t>一、從食品公司到生活入口</w:t>
      </w:r>
    </w:p>
    <w:p>
      <w:r>
        <w:t>統一企業早期給人的印象，是食品、糧食、乳品、麵食、飲料與包材公司。但到了 2024 年，統一企業的財務結構已經很難只用「食品公司」四個字概括。</w:t>
      </w:r>
    </w:p>
    <w:p>
      <w:r>
        <w:t>統一企業 2024 年法說會資料顯示，全年合併營收為新台幣 657,637 百萬元，營業利益為 33,827 百萬元，歸屬母公司淨利為 20,673 百萬元。部門營收中，便利商店及流通事業為 379,096 百萬元，占 58%；食品及糧食事業為 180,772 百萬元，占 27%；包裝容器為 27,477 百萬元，占 4%；其他事業為 70,292 百萬元，占 11%。</w:t>
      </w:r>
    </w:p>
    <w:p>
      <w:r>
        <w:t>這組數字帶出三個觀察。</w:t>
      </w:r>
    </w:p>
    <w:p>
      <w:r>
        <w:t>第一，統一企業的最大營收來源已是便利商店及流通事業，而不是傳統食品製造。這不表示食品及糧食不重要；相反地，食品及糧食仍是統一集團的商品、供應鏈與品牌能力基礎。差別在於，統一的食品能力已不只是工廠端能力，而是能否被放進便利商店、超市、量販、餐飲與會員系統中反覆使用。</w:t>
      </w:r>
    </w:p>
    <w:p>
      <w:r>
        <w:t>第二，流通事業不只是銷售通路。便利商店、超市與量販提供的是高頻率交易場景、店鋪密度、消費者資料、展店經驗與供應鏈節奏。食品工廠可以把產品賣給外部通路；但若同一集團同時掌握自有或關係通路，就有機會在新品測試、庫存週轉、促銷節奏、冷鏈配送、會員任務與商圈觀察上取得更快的回饋。</w:t>
      </w:r>
    </w:p>
    <w:p>
      <w:r>
        <w:t>第三，統一企業個體本身已具有控股特徵。統一企業 2024 年法說會揭露，個體權益法投資收益為新台幣 19,387 百萬元，占稅前淨利 88%；其中統一超商貢獻 5,238 百萬元，占 24%。因此，看統一不能只看合併營收，也不能只看食品本業。統一企業同時是一家食品公司、集團母公司與投資治理平台。</w:t>
      </w:r>
    </w:p>
    <w:p>
      <w:r>
        <w:t>統一超商則是觀察統一「生活入口」能力的重要入口。統一超 2024 年報揭露，合併營收為新台幣 337,932,397 仟元，營業利益為 13,972,735 仟元，本期淨利為 13,741,439 仟元，歸屬母公司淨利為 11,538,923 仟元。統一超與旗下子公司 2024 年底總店數為 13,125 店，OPENPOINT 會員突破約 1,800 萬人，員工數為 46,813 人。</w:t>
      </w:r>
    </w:p>
    <w:p>
      <w:r>
        <w:t>這些數字本身不等於範疇經濟。店數多，可能只是規模大；會員多，可能只是促銷工具；營收大，也可能只是低毛利流通事業的交易量。範疇經濟要問的是：多事業共同運作，是否讓統一做出單一事業做不到的事情？同一套物流與資訊系統，是否能服務便利商店、藥妝、超市、餐飲與電商？同一批顧客，是否會在早餐、咖啡、藥妝、量販、生鮮、支付與點數中反覆回到同一個集團？同一套展店與商圈判斷，是否能支援不同店型？同一套食品開發與中央廚房能力，是否能把短效期食材轉為鮮食、便當、熟食或聯名商品？</w:t>
      </w:r>
    </w:p>
    <w:p>
      <w:r>
        <w:t>換言之，「生活入口」不是一句品牌口號。若要成立，它必須被拆成可觀察的管理機制：店鋪密度、會員觸點、供應鏈節奏、資料回饋、品類管理、食品加工、支付點數、促銷任務與跨品牌合作。統一是否真的把這些機制連成系統，是後續分析的主軸。</w:t>
      </w:r>
    </w:p>
    <w:p>
      <w:pPr>
        <w:pStyle w:val="Heading2"/>
      </w:pPr>
      <w:r>
        <w:t>二、合資、共管與控制權：家樂福案例</w:t>
      </w:r>
    </w:p>
    <w:p>
      <w:r>
        <w:t>家樂福臺灣是統一控制權路徑中最清楚的案例之一。Carrefour 官方 2022 年 7 月 19 日新聞稿指出，家樂福臺灣於 1987 年由 Carrefour 與統一集團以 60%/40% 合資成立。2022 年，Carrefour 宣布將其持有的 60% 家樂福臺灣股權出售給統一，交易對家樂福臺灣的企業價值評估約為 20 億歐元。以 2021 年資料看，家樂福臺灣有 340 家店，包括 68 家量販店與 272 家超市及高端超市，另有 129 個 shopping malls；淨銷售額為 24.97 億歐元，EBITDA 為 2.43 億歐元，經常性營業利益為 7,800 萬歐元。</w:t>
      </w:r>
    </w:p>
    <w:p>
      <w:r>
        <w:t>2023 年 5 月 3 日，公平交易委員會決議不禁止統一企業、統一超商與家福公司結合案，但附加負擔。2023 年 6 月 30 日，Carrefour 公告完成出售家樂福臺灣 60% 持股，交易價格約 10 億歐元。公平會 112 年年報進一步提供持股層級：結合完成後，統一企業持有家福 70%，統一超持有 30%，家福成為統一企業控制子公司。</w:t>
      </w:r>
    </w:p>
    <w:p>
      <w:r>
        <w:t>家樂福案值得放進本案，不只是因為金額大，而是因為它同時具備三個特徵。</w:t>
      </w:r>
    </w:p>
    <w:p>
      <w:r>
        <w:t>第一，它不是短期財務投資。1987 年合資到 2023 年完成控制權轉換，中間經過三十多年共同經營。這段長時間讓統一不只是買進一家外部量販公司，而是先在合資關係中熟悉業態、制度、供應商、商圈與組織運作。若統一的能力真的存在，家樂福案會是「先共管、再取得控制權」的強案例。</w:t>
      </w:r>
    </w:p>
    <w:p>
      <w:r>
        <w:t>第二，家樂福不是單一店型資產。它包含量販、超市、高端超市與商場空間。對統一而言，這些資產能補上便利商店不擅長的家庭採購、大包裝、生鮮、量販會員、商場人流與大型店舖管理。便利商店的高頻交易與量販超市的家庭採購，是兩種不同場景。若能共享採購、物流、會員與資料，家樂福可能成為統一生活入口中較低頻但高客單的另一個節點。</w:t>
      </w:r>
    </w:p>
    <w:p>
      <w:r>
        <w:t>第三，家樂福案也揭示監管邊界。公平會附負擔不禁止結合，代表主管機關不只看交易雙方是否願意，也關心供貨商待遇、共同採購、市場集中與買方力量。若統一因整合而取得更大採購談判能力，這可能提高效率，也可能讓中小供應商承受壓力。範疇經濟若成立，往往伴隨市場力量變大；市場力量變大，又會引發公平競爭與供應商關係問題。</w:t>
      </w:r>
    </w:p>
    <w:p>
      <w:r>
        <w:t>因此，家樂福案例不能只寫成統一成功買下外資量販。它更像一面鏡子：一方面顯示統一能長期與外部品牌共管，最後提高控制權；另一方面也提醒，集團整合越深入，就越需要面對供應商、價格、品牌與監管壓力。</w:t>
      </w:r>
    </w:p>
    <w:p>
      <w:pPr>
        <w:pStyle w:val="Heading2"/>
      </w:pPr>
      <w:r>
        <w:t>三、LOPIA 是下一個家樂福嗎？</w:t>
      </w:r>
    </w:p>
    <w:p>
      <w:r>
        <w:t>LOPIA 交易很容易讓人聯想到家樂福。但兩者在時間、成熟度與不確定性上不同。</w:t>
      </w:r>
    </w:p>
    <w:p>
      <w:r>
        <w:t>家樂福臺灣在統一集團內已有三十多年合資歷史，統一對其經營環境、供應商、店型與管理制度並不陌生。LOPIA 則是近期交易，且在本案時間點仍待公平會不禁止結合，預計 2026 年底交割。家樂福已經完成控制權轉換；LOPIA 還停在交易設計與審查階段。兩者不能直接等同。</w:t>
      </w:r>
    </w:p>
    <w:p>
      <w:r>
        <w:t>這個差異會影響整個討論的重心。家樂福案可以用來觀察統一如何從長期共管走向控制權；LOPIA 則更適合用來檢驗統一會如何事先規劃整合邊界。前者提供歷史證據，後者提供決策壓力，兩者放在一起，才看得出統一的成長能力是否能重複。</w:t>
      </w:r>
    </w:p>
    <w:p>
      <w:r>
        <w:t>然而，LOPIA 的策略意義仍很清楚。它觸及統一長期想強化的幾個問題：生鮮品類、肉品、熟食、日式超市體驗、短效期食材管理、食品加工與高客流門市。便利商店強在高頻與即時；量販強在家庭採購與價格；高端超市強在選品與差異化；LOPIA 則可能帶來另一種組合：生鮮吸引力、熟食開發與日本品牌形象。</w:t>
      </w:r>
    </w:p>
    <w:p>
      <w:r>
        <w:t>若交易完成，統一可能有三條整合路徑。</w:t>
      </w:r>
    </w:p>
    <w:p>
      <w:r>
        <w:t>第一條是快速整合。統一可把 LOPIA 放入既有物流、採購、會員、資訊系統與展店體系，讓它迅速擴大門市、降低後台成本，並把短效期生鮮轉進中央廚房或鮮食開發。這條路徑的好處是效率與速度；風險是顧客可能覺得 LOPIA 失去日式超市原味。</w:t>
      </w:r>
    </w:p>
    <w:p>
      <w:r>
        <w:t>第二條是局部共享。統一只共享後台能力，例如冷鏈、部分採購、財務控管、租賃談判、資訊系統與食品加工，但保留 LOPIA 的選品語言、門市體驗、熟食節奏與品牌活動。這條路徑較能保留差異，也較能測試哪些資產共享真的有效；缺點是整合速度較慢，短期綜效較不明顯。</w:t>
      </w:r>
    </w:p>
    <w:p>
      <w:r>
        <w:t>第三條是品牌隔離。統一把 LOPIA 視為需要保持獨立性的特殊品牌，只在資本、治理與風險控管上介入。這條路徑最能保留品牌原味，但也最不容易證明交易綜效。若 LOPIA 只是多一家由統一投資的超市，範疇經濟命題就會變弱。</w:t>
      </w:r>
    </w:p>
    <w:p>
      <w:r>
        <w:t>這三條路沒有標準答案。真正的管理問題在於：哪些能力必須共享，哪些差異必須保留？如果統一共享的是冷鏈、食品加工、採購談判與展店能力，也許能提升 LOPIA 的營運效率；如果統一把促銷節奏、會員任務與商品組合全部套入 LOPIA，也可能削弱 LOPIA 的品牌辨識。整合不是越多越好，品牌獨立也不是越高越好。關鍵在於資產共享與品牌差異之間的設計。</w:t>
      </w:r>
    </w:p>
    <w:p>
      <w:pPr>
        <w:pStyle w:val="Heading2"/>
      </w:pPr>
      <w:r>
        <w:t>四、範疇經濟不是多角化</w:t>
      </w:r>
    </w:p>
    <w:p>
      <w:r>
        <w:t>很多企業都做多角化，但多角化不一定形成範疇經濟。範疇經濟指的是多產品或多事業共同經營的成本或資源使用效率，優於各自獨立經營。用在統一集團，真正要追問的不是「統一有多少事業」，而是「這些事業放在一起後，是否真的產生共同成本降低、收入放大、風險分散或資產再利用」。</w:t>
      </w:r>
    </w:p>
    <w:p>
      <w:r>
        <w:t>以統一為例，可能的範疇經濟來源包括六類。</w:t>
      </w:r>
    </w:p>
    <w:p>
      <w:r>
        <w:t>第一是物流與冷鏈。便利商店、超市、量販、藥妝與餐飲都需要穩定配送，但配送頻率、溫層、品類與時間要求不同。若同一集團能把不同業態的配送節奏協調起來，可能降低空車、提高倉儲與配送利用率，並提高新品導入速度。</w:t>
      </w:r>
    </w:p>
    <w:p>
      <w:r>
        <w:t>第二是中央廚房與食品加工。統一長期累積食品開發與鮮食能力。若 LOPIA 的肉品、生鮮或短效期食材能轉化為便當、熟食、聯名商品或便利商店鮮食，原本的報廢風險可能變成毛利來源。但這仍是待驗證假說。要成立，必須看到食材利用率、報廢率、鮮食毛利、品類導入速度與消費者接受度。</w:t>
      </w:r>
    </w:p>
    <w:p>
      <w:r>
        <w:t>第三是採購與供應商管理。家樂福、超市、便利商店與食品工廠都會接觸大量供應商。共同採購可能提高議價力、降低成本；但也可能引發供貨商壓力與市場集中疑慮。家樂福案中的公平會附負擔，正好提醒這項綜效不可能只用成本節省來評價。</w:t>
      </w:r>
    </w:p>
    <w:p>
      <w:r>
        <w:t>第四是會員與資料。OPENPOINT 會員數突破約 1,800 萬人，代表統一超擁有非常大的顧客觸點。但會員多不必然等於網路效應。若會員只是折扣與點數，競爭者也能用促銷回應；若會員能讓不同業態互相導流、提高跨品牌消費頻次、降低新店獲客成本、改善商品開發，才比較接近生態圈或轉換成本。</w:t>
      </w:r>
    </w:p>
    <w:p>
      <w:r>
        <w:t>第五是展店與商圈判斷。便利商店、藥妝、咖啡、超市、量販與餐飲都需要店址判斷，但店型不同，成功條件也不同。統一若能在同一商圈中配置不同品牌，可能提高場景覆蓋；若配置不當，也可能造成內部競食或租金負擔。</w:t>
      </w:r>
    </w:p>
    <w:p>
      <w:r>
        <w:t>第六是投資與治理能力。統一企業個體權益法投資收益占稅前淨利很高，顯示關係企業對母公司獲利的重要性。這可能代表統一能透過投資結構分享多事業成果；也提醒分析者，若只看食品本業，會低估或錯讀統一企業的價值來源。</w:t>
      </w:r>
    </w:p>
    <w:p>
      <w:r>
        <w:t>這些機制都需要資料檢查。統一的範疇經濟若要成立，不能只靠「通路很多」「會員很多」「品牌很多」來證明。共享資產是否真的被使用？使用後是否改善成本或收入？競爭者能否快速複製？如果競爭者只要投資就能做到，那只是營運改善；如果需要長期累積的流程、資料、供應商關係、店址密度與人才治理，才可能形成較難模仿的能力。</w:t>
      </w:r>
    </w:p>
    <w:p>
      <w:pPr>
        <w:pStyle w:val="Heading2"/>
      </w:pPr>
      <w:r>
        <w:t>五、流程能力：資產之外的吸收能力</w:t>
      </w:r>
    </w:p>
    <w:p>
      <w:r>
        <w:t>統一集團的特殊之處，可能不只在它擁有哪些資產，而在它如何吸收資產。</w:t>
      </w:r>
    </w:p>
    <w:p>
      <w:r>
        <w:t>一家公司可以買店、買品牌、買物流中心、買會員平台，也可以聘請外部經理人。但把外部品牌放進自己的系統後，仍能維持品牌生命力、改善營運效率、控制財務風險，並讓其他事業受益，這需要更長期的流程能力。這種能力往往不容易從財報單一科目看出，卻可以從事件線、組織履歷、跨公司任職、子公司治理與反覆出現的管理動作中觀察。</w:t>
      </w:r>
    </w:p>
    <w:p>
      <w:r>
        <w:t>統一的流程能力可以從幾個面向理解。</w:t>
      </w:r>
    </w:p>
    <w:p>
      <w:r>
        <w:t>第一是展店流程。便利商店、藥妝、咖啡、超市與量販都有展店邏輯。統一若能在不同業態間共享商圈資料、租賃談判、店鋪工程、開幕流程與人員訓練，展店就不只是單一品牌能力，而是集團能力。</w:t>
      </w:r>
    </w:p>
    <w:p>
      <w:r>
        <w:t>第二是品類管理。便利商店的鮮食、咖啡、茶葉蛋、便當、飲料、即食商品與服務項目，都需要快速測試與汰換。超市與量販的品類管理更複雜，牽涉進口商品、生鮮、家庭採購與價格帶。若統一能把食品開發、供應商管理與門市回饋連起來，就可能把不同事業的學習互相轉移。</w:t>
      </w:r>
    </w:p>
    <w:p>
      <w:r>
        <w:t>第三是財務控管。合資與入股本身不難，難的是投資後如何設定治理邊界、績效指標、資本支出節奏與風險控管。家樂福案從長期合資到取得控制權，提供了觀察統一投資治理的材料。LOPIA 則會測試統一能否在交易未完成前，就先設計清楚整合原則。</w:t>
      </w:r>
    </w:p>
    <w:p>
      <w:r>
        <w:t>第四是人才治理。公開年報可見統一企業與統一超之間存在關係企業、董事會與高階經理人任職網絡。這些資料不應被寫成人物傳，而應被視為治理網絡。統一究竟是靠少數核心人物推動，還是已經把跨事業管理能力制度化？若能力只存在於少數高層，接班與擴張都會受到限制；若能力已透過會議、流程、指標、人才輪調與子公司治理制度化，範疇經濟才比較可能持續。</w:t>
      </w:r>
    </w:p>
    <w:p>
      <w:r>
        <w:t>第五是品牌吸收能力。統一經營外部品牌時，必須在兩種力量間平衡：一邊是本地化效率，一邊是品牌原有差異。7-Eleven 的臺灣在地化可以被看成成功案例；但其他品牌是否都適合被同樣方式吸收，不能先下結論。</w:t>
      </w:r>
    </w:p>
    <w:p>
      <w:r>
        <w:t>流程能力之所以重要，是因為它比單一資產難模仿。競爭者可以開店、做 App、建立會員點數、投資物流，也可以併購品牌。但若統一的優勢來自多年累積的供應鏈節奏、門市營運、加盟管理、商品開發、品牌授權、關係企業治理與本地制度理解，競爭者就不容易短期複製。</w:t>
      </w:r>
    </w:p>
    <w:p>
      <w:r>
        <w:t>不過，這仍是假說。支持證據可能來自統一超高店數、高會員觸點、長期合資案例、食品與流通部門嵌合；反證可能來自海外展店虧損、監管禁止結合、品牌促銷依賴、超市縮編或消費者對品牌變味的疑慮。好的判斷不能只挑支持統一的材料，也要把這些反證放進同一張圖裡。</w:t>
      </w:r>
    </w:p>
    <w:p>
      <w:pPr>
        <w:pStyle w:val="Heading2"/>
      </w:pPr>
      <w:r>
        <w:t>六、品牌在地化的雙刃劍</w:t>
      </w:r>
    </w:p>
    <w:p>
      <w:r>
        <w:t>統一的在地化能力，是本案最有張力的一面。它可能是競爭優勢，也可能是品牌爭議來源。</w:t>
      </w:r>
    </w:p>
    <w:p>
      <w:r>
        <w:t>7-Eleven 是最常被用來說明在地化能力的案例。早期美式便利店模型在臺灣並非一開始就成功，後來透過茶葉蛋、鮮食、24 小時服務、密集店址、生活服務與本地商品節奏，逐步成為臺灣日常生活的一部分。這段歷史說明了統一的能力不是天生存在，而是在反覆調整中形成。</w:t>
      </w:r>
    </w:p>
    <w:p>
      <w:r>
        <w:t>星巴克則提供另一種觀察。2017 年，統一取得臺灣星巴克 100% 經營權；到 2026 年，媒體報導臺灣星巴克門市達 600 店。這可被視為統一長期經營國際品牌的能力展現。然而，2024 年已有媒體與專家討論星巴克促銷密度偏高，可能養成「不促銷不消費」的客群。這個現象不能直接歸因於統一，也不能證明星巴克品牌已被稀釋；但它提出一個重要問題：當本地經營者熟悉促銷、會員、聯名與門市密度，品牌會變得更貼近市場，還是更依賴折扣？</w:t>
      </w:r>
    </w:p>
    <w:p>
      <w:r>
        <w:t>家樂福則把品牌在地化推到更大的尺度。統一取得完整控制後，家樂福的通路、會員、物流、採購與商場資產有機會與統一系統更深整合。但公平會附負擔也提醒，這種整合牽涉供貨商待遇、共同採購與市場集中。2025 年底媒體報導家樂福終止法國品牌授權，後續改招牌將使「法式量販品牌」轉為更在地的集團品牌。這不是單純改名，而是品牌資產、異國感、顧客信任與通路效率之間的重新配置。</w:t>
      </w:r>
    </w:p>
    <w:p>
      <w:r>
        <w:t>Mia C'bon 是另一個邊界案例。JASONS 改名 Mia C'bon 時，品牌主張包括國際選品與在地生活感。2026 年，媒體報導 Mia C'bon 一口氣關閉 4 店，公司回應主因是合約到期。這不能被直接寫成失敗，但可以被列為高端超市定位、租約、坪效與集團通路配置的待觀察案例。若高端超市無法靠集團通路與採購取得足夠優勢，統一的範疇經濟就有品類與客群邊界。</w:t>
      </w:r>
    </w:p>
    <w:p>
      <w:r>
        <w:t>康是美則顯示自創品牌的另一面。媒體報導康是美達 600 店並超車主要競爭者，OPENPOINT 與複合店型可帶來綜效。但快速展店也可能帶來藥師、人力與服務品質壓力。這不是品牌變味問題，而是規模擴張後，專業服務供給是否跟得上店數密度的問題。</w:t>
      </w:r>
    </w:p>
    <w:p>
      <w:r>
        <w:t>LOPIA 的品牌張力目前只能寫成待觀察。若交易完成，統一能否讓 LOPIA 保留日式超市的選品、熟食、肉品與門市體驗，同時分享物流、食品加工、會員與展店能力？如果保留太多，交易綜效可能不明顯；如果整合太深，品牌差異可能被稀釋。</w:t>
      </w:r>
    </w:p>
    <w:p>
      <w:r>
        <w:t>這就是在地化的雙刃劍。統一越能把外部品牌放進本地系統，就越可能提高效率；但它越能吸收品牌，也越可能讓消費者覺得品牌「變成統一的形狀」。這句話不應被當成結論，而應被當成分析問題：什麼叫變味？是選品變少、促銷變多、價格策略改變、服務語氣改變、會員任務變多，還是供應鏈效率提高但品牌故事變弱？</w:t>
      </w:r>
    </w:p>
    <w:p>
      <w:pPr>
        <w:pStyle w:val="Heading2"/>
      </w:pPr>
      <w:r>
        <w:t>七、失敗案例與能力邊界</w:t>
      </w:r>
    </w:p>
    <w:p>
      <w:r>
        <w:t>成功案例往往讓人高估企業能力。失敗、縮編、監管阻擋與未達預期的案例，反而能更清楚看見能力邊界。</w:t>
      </w:r>
    </w:p>
    <w:p>
      <w:r>
        <w:t>第一個邊界是 7-Eleven 早期虧損。若統一後來能把 7-Eleven 本地化成功，這不代表統一一開始就知道答案。早期美式便利店模型在臺灣失靈，說明本地制度、消費習慣、店址、商品與服務節奏都需要重新學習。這個案例應該放在流程能力形成之前，而不是只放在成功史之後。</w:t>
      </w:r>
    </w:p>
    <w:p>
      <w:r>
        <w:t>第二個邊界是成熟期修剪。2001 年曾有報導指出 7-Eleven 關閉不賺錢門市。這不一定是失敗，也可能是成熟市場中的營運調整。店數密度不是越高越好。展店帶來規模，也帶來租金、人力、加盟管理與內部競食壓力。</w:t>
      </w:r>
    </w:p>
    <w:p>
      <w:r>
        <w:t>第三個邊界是海外複製。2024 年中央社報導上海、浙江 7-Eleven 2023 年前三季虧損並增資。這不能簡化為海外失敗，因為公司仍可能持續投資；然而臺灣市場形成的便利商店流程，不必然能原封不動移到海外。商圈密度、競爭者、消費習慣、加盟制度、支付環境與供應鏈條件不同，流程能力就需要重新在地化。</w:t>
      </w:r>
    </w:p>
    <w:p>
      <w:r>
        <w:t>第四個邊界是監管。統一與維力結合案曾遭公平會禁止。這不是經營失敗，而是制度邊界。若統一想透過水平整合或品類擴張取得更強市場力量，公平會可能認為競爭風險過高。這說明範疇經濟不是企業單方面說了算，還要通過市場制度與公共利益檢驗。</w:t>
      </w:r>
    </w:p>
    <w:p>
      <w:r>
        <w:t>第五個邊界是平台整合未明。例如 foodomo 這類外送或平台相關投資，若缺乏活躍用戶、市占、GMV、虧損與關聯導流資料，就不能輕易寫成會員生態圈成功。投資一個平台，與把平台變成集團生活入口，是兩件不同的事。</w:t>
      </w:r>
    </w:p>
    <w:p>
      <w:r>
        <w:t>這些反證不會推翻統一的所有能力，但會讓命題更精準。統一可能擅長在臺灣本地高密度通路、食品供應鏈與會員場景中吸收品牌；它未必擅長所有海外市場、所有高端品牌、所有平台事業，也不一定能避開監管邊界。若要說統一有範疇經濟，就必須說清楚它在哪些條件下有效，也要承認它在哪些條件下可能失靈。</w:t>
      </w:r>
    </w:p>
    <w:p>
      <w:pPr>
        <w:pStyle w:val="Heading2"/>
      </w:pPr>
      <w:r>
        <w:t>八、回到董事會：LOPIA 應該怎麼整合？</w:t>
      </w:r>
    </w:p>
    <w:p>
      <w:r>
        <w:t>假設 LOPIA 交易順利取得公平會不禁止結合並於 2026 年底交割，統一超管理團隊需要回答的問題不是「要不要整合」，而是「整合到什麼程度」。</w:t>
      </w:r>
    </w:p>
    <w:p>
      <w:r>
        <w:t>如果選擇快速整合，統一可以立即導入冷鏈、食品加工、會員任務、展店與採購資源。這可能縮短 LOPIA 擴張時間，改善生鮮供應效率，也讓統一更快測試日式超市與便利商店鮮食之間的連動。但快速整合的風險是品牌差異被稀釋。LOPIA 的吸引力若來自日本式選品、肉品、熟食與價格感，一旦被過度套入統一的會員與促銷節奏，顧客可能覺得它只是另一個統一通路。</w:t>
      </w:r>
    </w:p>
    <w:p>
      <w:r>
        <w:t>如果選擇局部共享，統一可以先共享看不見的後台：冷鏈、食品安全、財務控管、部分採購、租賃談判、資訊系統與食品加工能力；前台則保留 LOPIA 的選品、熟食開發、門市動線、服務語氣與品牌活動。這條路徑較能保留品牌，但需要更精細的治理。管理團隊要設定哪些資料共享、哪些決策仍由品牌團隊保留，並建立明確指標。</w:t>
      </w:r>
    </w:p>
    <w:p>
      <w:r>
        <w:t>如果選擇品牌隔離，統一可以把 LOPIA 當成特殊品牌投資，只在資本、董事會與風險控管上介入。這有助於保存品牌原味，但也可能讓交易綜效過低。若 LOPIA 與統一其他事業之間沒有物流、會員、採購或食品加工連動，這筆交易就比較像投資組合擴張，而不是範疇經濟。</w:t>
      </w:r>
    </w:p>
    <w:p>
      <w:r>
        <w:t>一份董事會建議至少要回答五個問題：</w:t>
      </w:r>
    </w:p>
    <w:p>
      <w:pPr>
        <w:pStyle w:val="ListNumber"/>
      </w:pPr>
      <w:r>
        <w:t>LOPIA 交割後的第一年，應該共享哪些統一資產？</w:t>
      </w:r>
    </w:p>
    <w:p>
      <w:pPr>
        <w:pStyle w:val="ListNumber"/>
      </w:pPr>
      <w:r>
        <w:t>哪些品牌元素、選品決策或門市體驗不應立即整合？</w:t>
      </w:r>
    </w:p>
    <w:p>
      <w:pPr>
        <w:pStyle w:val="ListNumber"/>
      </w:pPr>
      <w:r>
        <w:t>哪些指標可以判斷範疇經濟是否真的出現？</w:t>
      </w:r>
    </w:p>
    <w:p>
      <w:pPr>
        <w:pStyle w:val="ListNumber"/>
      </w:pPr>
      <w:r>
        <w:t>哪些風險會讓整合從效率變成品牌稀釋？</w:t>
      </w:r>
    </w:p>
    <w:p>
      <w:pPr>
        <w:pStyle w:val="ListNumber"/>
      </w:pPr>
      <w:r>
        <w:t>若公平會提出附負擔或限制，統一應如何調整整合節奏？</w:t>
      </w:r>
    </w:p>
    <w:p>
      <w:r>
        <w:t>可能的指標包括：同店銷售、客單價、毛利率、報廢率、庫存週轉、熟食品類占比、會員交叉消費、OPENPOINT 導流效果、品牌信任、社群情緒、供應商條件、客訴與門市人力穩定度。</w:t>
      </w:r>
    </w:p>
    <w:p>
      <w:r>
        <w:t>最後，這個案子的問題不是統一是否「很強」。真正的問題是：統一的強，究竟來自資產本身，還是來自吸收資產的能力？若是前者，競爭者只要買到足夠資產就能追上；若是後者，統一的優勢可能存在於更難被看見、也更難被複製的流程、治理與在地化能力之中。</w:t>
      </w:r>
    </w:p>
    <w:p>
      <w:pPr>
        <w:pStyle w:val="Heading2"/>
      </w:pPr>
      <w:r>
        <w:t>九、分析框架：三層證據，不同答案</w:t>
      </w:r>
    </w:p>
    <w:p>
      <w:r>
        <w:t>討論本案時，最容易犯的錯誤是把三種問題混在一起。第一種問題是事實問題，例如交易是否完成、持股比例是多少、營收與店數採什麼口徑。第二種問題是機制問題，例如物流、會員、採購與中央廚房是否真的能共同使用。第三種問題是策略判斷，例如統一應不應該快速整合 LOPIA。三種問題彼此相關，但不能互相取代。</w:t>
      </w:r>
    </w:p>
    <w:p>
      <w:r>
        <w:t>事實問題需要來源。家樂福案可以使用 Carrefour 官方公告與公平會資料；統一企業與統一超的營收、部門結構、店數與會員資料，應回到法說會與年報；LOPIA 交易狀態則必須以統一超財報、公開資訊觀測站與公平會資料為準。若交易尚未交割，分析中就不能寫「統一已整合 LOPIA」。這不只是用字問題，而是會改變整個策略情境。未交割時，管理團隊能做的是整合設計、風險準備與監管回應；已交割後，才會進入執行與成效評估。</w:t>
      </w:r>
    </w:p>
    <w:p>
      <w:r>
        <w:t>機制問題需要代理指標。假設統一能透過物流產生範疇經濟，就應該追蹤配送成本、倉儲利用率、缺貨率與溫層效率；假設中央廚房能吸收短效期生鮮，就應追蹤報廢率、熟食品類毛利、食品安全事件與消費者接受度；假設會員能形成網路效應，就應追蹤活躍會員、跨品牌消費、任務完成率、非促銷日回購與新店獲客成本。若只有會員總數，還不足以證明網路效應。會員可能是資產，也可能只是促銷名單。</w:t>
      </w:r>
    </w:p>
    <w:p>
      <w:r>
        <w:t>策略判斷則需要取捨。快速整合看起來有效率，但可能提高品牌稀釋風險；品牌隔離看起來保守，但可能無法證明投資綜效；局部共享看起來折衷，卻需要更細緻的治理。提出方案時，不能只說「兼顧效率與品牌」。好的方案必須說明：第一年共享哪些能力，不共享哪些前台元素；哪些指標一旦惡化，就要降速；哪些資料一旦顯示綜效明確，就可以加速整合。</w:t>
      </w:r>
    </w:p>
    <w:p>
      <w:r>
        <w:t>因此，本案可以用三層表格整理。</w:t>
      </w:r>
    </w:p>
    <w:p>
      <w:r>
        <w:t>第一層是「已知事實」。例如，家樂福交易已完成，LOPIA 交易在本案時間點仍待交割，統一企業 2024 年便利商店及流通事業是最大營收部門，統一超 2024 年底總店數與 OPENPOINT 會員數已達相當規模。這些事實是討論的地基。</w:t>
      </w:r>
    </w:p>
    <w:p>
      <w:r>
        <w:t>第二層是「可檢驗機制」。例如，統一是否能用同一套後台支援便利商店、超市、量販、藥妝與餐飲；食品及糧食能力是否透過通路被放大；會員系統是否降低新品牌獲客成本；中央廚房是否把生鮮風險轉成鮮食機會。這些機制不是結論，需要資料驗證。</w:t>
      </w:r>
    </w:p>
    <w:p>
      <w:r>
        <w:t>第三層是「管理選擇」。例如，LOPIA 應不應該導入 OPENPOINT；家樂福品牌重塑時是否應保留外資量販的顧客記憶；高端超市是否適合用集團大眾通路邏輯管理；星巴克式促銷是否會訓練顧客只在活動日消費。這些選擇沒有單一答案，但必須與前兩層證據相容。</w:t>
      </w:r>
    </w:p>
    <w:p>
      <w:r>
        <w:t>若最後主張統一具有範疇經濟，也必須指出範疇經濟的範圍：它可能在臺灣本地、高密度、食品與流通相關業態中特別有效；在海外市場、高端品牌、平台事業或受監管高度關注的水平結合中，效果可能降低。若最後主張統一只是多角化集團，也必須解釋為何家樂福、統一超、OPENPOINT、食品供應鏈與權益法收益不能共同構成系統。單純說「事業很多不代表綜效」還不夠，必須指出缺少哪些證據。</w:t>
      </w:r>
    </w:p>
    <w:p>
      <w:pPr>
        <w:pStyle w:val="Heading2"/>
      </w:pPr>
      <w:r>
        <w:t>十、整合政策設計：從三個情境到一組指標</w:t>
      </w:r>
    </w:p>
    <w:p>
      <w:r>
        <w:t>若把本案放進董事會討論，可以設計三個情境。</w:t>
      </w:r>
    </w:p>
    <w:p>
      <w:r>
        <w:t>情境一是「效率優先」。統一在交割後快速導入物流、採購、會員、資訊與中央廚房，並讓 LOPIA 成為集團生鮮與熟食能力的測試場。這個情境適合用在供應鏈不穩、展店成本高、缺貨率高或報廢率高的情況。若 LOPIA 原有後台明顯無法支撐展店，效率優先會有吸引力。但董事會必須同步設定品牌保護線：促銷頻率、商品替換比例、日式熟食占比、原有供應商留存率與顧客滿意度不能失控。</w:t>
      </w:r>
    </w:p>
    <w:p>
      <w:r>
        <w:t>情境二是「品牌優先」。統一在第一年只做風險控管與基礎後台支援，不急著把會員任務、跨品牌促銷與中央廚房商品放進前台。這個情境適合用在 LOPIA 顧客高度重視原味、選品與門市體驗的情況。品牌優先的好處是降低顧客反彈；缺點是投資人短期較難看到綜效。因此，董事會要要求品牌團隊提出明確成長指標，不能只用「保留原味」作為不整合的理由。</w:t>
      </w:r>
    </w:p>
    <w:p>
      <w:r>
        <w:t>情境三是「分階段共享」。統一先整合食品安全、冷鏈穩定、財務控管與部分採購，再用少量門市測試會員活動、熟食轉化與中央廚房聯名。這個情境最接近管理上的實務折衷。它承認統一的後台能力有價值，也承認品牌前台不能一次被集團化。分階段共享的難點在於治理：誰有權決定商品替換？誰判斷促銷過量？當財務部要求加速綜效、品牌團隊要求保留差異時，由誰仲裁？</w:t>
      </w:r>
    </w:p>
    <w:p>
      <w:r>
        <w:t>不論採哪個情境，董事會都應要求一組「整合儀表板」。這組儀表板至少包含四類指標。</w:t>
      </w:r>
    </w:p>
    <w:p>
      <w:r>
        <w:t>第一類是營運效率：配送成本、缺貨率、報廢率、庫存週轉、食品安全事件、門市人效。這類指標判斷統一後台是否真的有用。</w:t>
      </w:r>
    </w:p>
    <w:p>
      <w:r>
        <w:t>第二類是收入與顧客：同店銷售、客單價、來客數、原價購買比例、會員導流後回購率、跨品牌消費頻次。這類指標判斷會員與通路是否真的創造收入，而不是只帶來一次性促銷流量。</w:t>
      </w:r>
    </w:p>
    <w:p>
      <w:r>
        <w:t>第三類是品牌健康：顧客能否說出 LOPIA 的差異、社群討論是否從選品轉向折扣、活動日與非活動日落差是否過大、客訴原因是否集中在商品變化與服務改變。這類指標判斷整合是否傷害品牌。</w:t>
      </w:r>
    </w:p>
    <w:p>
      <w:r>
        <w:t>第四類是制度與關係：供應商條件變化、中小供應商留存、主管機關附負擔履行情形、內部治理會議節奏、原品牌團隊留任。這類指標判斷統一是否在追求範疇經濟時，維持市場與組織關係的穩定。</w:t>
      </w:r>
    </w:p>
    <w:p>
      <w:r>
        <w:t>這套儀表板的價值，不在於讓統一看起來更科學，而在於防止管理團隊只看一種數字。若只看營運效率，可能忽略品牌流失；若只看品牌健康，可能錯過後台改善；若只看會員導流，可能把折扣當成網路效應；若只看交易完成，可能忘記主管機關與供應商關係仍在影響整合空間。</w:t>
      </w:r>
    </w:p>
    <w:p>
      <w:r>
        <w:t>最後，範疇經濟不是一種靜態狀態，而是一組持續被驗證的管理選擇。統一可以透過資產共享創造優勢，也可能因過度共享而削弱品牌。LOPIA 不是答案，而是一個新的測試場。它會測試統一是否知道，什麼時候該把品牌放進系統，什麼時候該讓系統退到後台。</w:t>
      </w:r>
    </w:p>
    <w:p>
      <w:pPr>
        <w:pStyle w:val="Heading2"/>
      </w:pPr>
      <w:r>
        <w:t>Exhibit 1：家樂福交易事件摘要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</w:tcPr>
          <w:p>
            <w:r>
              <w:t>時間</w:t>
            </w:r>
          </w:p>
        </w:tc>
        <w:tc>
          <w:tcPr>
            <w:tcW w:type="dxa" w:w="3360"/>
          </w:tcPr>
          <w:p>
            <w:r>
              <w:t>事件</w:t>
            </w:r>
          </w:p>
        </w:tc>
        <w:tc>
          <w:tcPr>
            <w:tcW w:type="dxa" w:w="3360"/>
          </w:tcPr>
          <w:p>
            <w:r>
              <w:t>對本案的意義</w:t>
            </w:r>
          </w:p>
        </w:tc>
      </w:tr>
      <w:tr>
        <w:tc>
          <w:tcPr>
            <w:tcW w:type="dxa" w:w="3360"/>
          </w:tcPr>
          <w:p>
            <w:r>
              <w:t>1987</w:t>
            </w:r>
          </w:p>
        </w:tc>
        <w:tc>
          <w:tcPr>
            <w:tcW w:type="dxa" w:w="3360"/>
          </w:tcPr>
          <w:p>
            <w:r>
              <w:t>Carrefour 與統一以 60%/40% 合資成立家樂福臺灣</w:t>
            </w:r>
          </w:p>
        </w:tc>
        <w:tc>
          <w:tcPr>
            <w:tcW w:type="dxa" w:w="3360"/>
          </w:tcPr>
          <w:p>
            <w:r>
              <w:t>長期合資與共管的起點</w:t>
            </w:r>
          </w:p>
        </w:tc>
      </w:tr>
      <w:tr>
        <w:tc>
          <w:tcPr>
            <w:tcW w:type="dxa" w:w="3360"/>
          </w:tcPr>
          <w:p>
            <w:r>
              <w:t>2022-07-19</w:t>
            </w:r>
          </w:p>
        </w:tc>
        <w:tc>
          <w:tcPr>
            <w:tcW w:type="dxa" w:w="3360"/>
          </w:tcPr>
          <w:p>
            <w:r>
              <w:t>Carrefour 宣布出售其 60% 持股給統一</w:t>
            </w:r>
          </w:p>
        </w:tc>
        <w:tc>
          <w:tcPr>
            <w:tcW w:type="dxa" w:w="3360"/>
          </w:tcPr>
          <w:p>
            <w:r>
              <w:t>控制權轉換啟動</w:t>
            </w:r>
          </w:p>
        </w:tc>
      </w:tr>
      <w:tr>
        <w:tc>
          <w:tcPr>
            <w:tcW w:type="dxa" w:w="3360"/>
          </w:tcPr>
          <w:p>
            <w:r>
              <w:t>2023-05-03</w:t>
            </w:r>
          </w:p>
        </w:tc>
        <w:tc>
          <w:tcPr>
            <w:tcW w:type="dxa" w:w="3360"/>
          </w:tcPr>
          <w:p>
            <w:r>
              <w:t>公平會不禁止結合，但附加負擔</w:t>
            </w:r>
          </w:p>
        </w:tc>
        <w:tc>
          <w:tcPr>
            <w:tcW w:type="dxa" w:w="3360"/>
          </w:tcPr>
          <w:p>
            <w:r>
              <w:t>顯示市場集中、供貨商待遇與共同採購的監管邊界</w:t>
            </w:r>
          </w:p>
        </w:tc>
      </w:tr>
      <w:tr>
        <w:tc>
          <w:tcPr>
            <w:tcW w:type="dxa" w:w="3360"/>
          </w:tcPr>
          <w:p>
            <w:r>
              <w:t>2023-06-30</w:t>
            </w:r>
          </w:p>
        </w:tc>
        <w:tc>
          <w:tcPr>
            <w:tcW w:type="dxa" w:w="3360"/>
          </w:tcPr>
          <w:p>
            <w:r>
              <w:t>Carrefour 公告完成出售</w:t>
            </w:r>
          </w:p>
        </w:tc>
        <w:tc>
          <w:tcPr>
            <w:tcW w:type="dxa" w:w="3360"/>
          </w:tcPr>
          <w:p>
            <w:r>
              <w:t>家樂福臺灣進入統一控制</w:t>
            </w:r>
          </w:p>
        </w:tc>
      </w:tr>
      <w:tr>
        <w:tc>
          <w:tcPr>
            <w:tcW w:type="dxa" w:w="3360"/>
          </w:tcPr>
          <w:p>
            <w:r>
              <w:t>交易後</w:t>
            </w:r>
          </w:p>
        </w:tc>
        <w:tc>
          <w:tcPr>
            <w:tcW w:type="dxa" w:w="3360"/>
          </w:tcPr>
          <w:p>
            <w:r>
              <w:t>統一企業持有家福 70%，統一超持有 30%</w:t>
            </w:r>
          </w:p>
        </w:tc>
        <w:tc>
          <w:tcPr>
            <w:tcW w:type="dxa" w:w="3360"/>
          </w:tcPr>
          <w:p>
            <w:r>
              <w:t>持股層級顯示家福成為統一企業控制子公司</w:t>
            </w:r>
          </w:p>
        </w:tc>
      </w:tr>
    </w:tbl>
    <w:p>
      <w:pPr>
        <w:pStyle w:val="Heading2"/>
      </w:pPr>
      <w:r>
        <w:t>Exhibit 2：統一企業 2024 部門資料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>
              <w:t>部門</w:t>
            </w:r>
          </w:p>
        </w:tc>
        <w:tc>
          <w:tcPr>
            <w:tcW w:type="dxa" w:w="2520"/>
          </w:tcPr>
          <w:p>
            <w:r>
              <w:t>營收</w:t>
            </w:r>
          </w:p>
        </w:tc>
        <w:tc>
          <w:tcPr>
            <w:tcW w:type="dxa" w:w="2520"/>
          </w:tcPr>
          <w:p>
            <w:r>
              <w:t>營收占比</w:t>
            </w:r>
          </w:p>
        </w:tc>
        <w:tc>
          <w:tcPr>
            <w:tcW w:type="dxa" w:w="2520"/>
          </w:tcPr>
          <w:p>
            <w:r>
              <w:t>對本案的提問</w:t>
            </w:r>
          </w:p>
        </w:tc>
      </w:tr>
      <w:tr>
        <w:tc>
          <w:tcPr>
            <w:tcW w:type="dxa" w:w="2520"/>
          </w:tcPr>
          <w:p>
            <w:r>
              <w:t>食品及糧食</w:t>
            </w:r>
          </w:p>
        </w:tc>
        <w:tc>
          <w:tcPr>
            <w:tcW w:type="dxa" w:w="2520"/>
          </w:tcPr>
          <w:p>
            <w:r>
              <w:t>180,772 百萬元</w:t>
            </w:r>
          </w:p>
        </w:tc>
        <w:tc>
          <w:tcPr>
            <w:tcW w:type="dxa" w:w="2520"/>
          </w:tcPr>
          <w:p>
            <w:r>
              <w:t>27%</w:t>
            </w:r>
          </w:p>
        </w:tc>
        <w:tc>
          <w:tcPr>
            <w:tcW w:type="dxa" w:w="2520"/>
          </w:tcPr>
          <w:p>
            <w:r>
              <w:t>食品能力是否透過通路放大？</w:t>
            </w:r>
          </w:p>
        </w:tc>
      </w:tr>
      <w:tr>
        <w:tc>
          <w:tcPr>
            <w:tcW w:type="dxa" w:w="2520"/>
          </w:tcPr>
          <w:p>
            <w:r>
              <w:t>便利商店及流通</w:t>
            </w:r>
          </w:p>
        </w:tc>
        <w:tc>
          <w:tcPr>
            <w:tcW w:type="dxa" w:w="2520"/>
          </w:tcPr>
          <w:p>
            <w:r>
              <w:t>379,096 百萬元</w:t>
            </w:r>
          </w:p>
        </w:tc>
        <w:tc>
          <w:tcPr>
            <w:tcW w:type="dxa" w:w="2520"/>
          </w:tcPr>
          <w:p>
            <w:r>
              <w:t>58%</w:t>
            </w:r>
          </w:p>
        </w:tc>
        <w:tc>
          <w:tcPr>
            <w:tcW w:type="dxa" w:w="2520"/>
          </w:tcPr>
          <w:p>
            <w:r>
              <w:t>流通是否成為範疇經濟平台？</w:t>
            </w:r>
          </w:p>
        </w:tc>
      </w:tr>
      <w:tr>
        <w:tc>
          <w:tcPr>
            <w:tcW w:type="dxa" w:w="2520"/>
          </w:tcPr>
          <w:p>
            <w:r>
              <w:t>包裝容器</w:t>
            </w:r>
          </w:p>
        </w:tc>
        <w:tc>
          <w:tcPr>
            <w:tcW w:type="dxa" w:w="2520"/>
          </w:tcPr>
          <w:p>
            <w:r>
              <w:t>27,477 百萬元</w:t>
            </w:r>
          </w:p>
        </w:tc>
        <w:tc>
          <w:tcPr>
            <w:tcW w:type="dxa" w:w="2520"/>
          </w:tcPr>
          <w:p>
            <w:r>
              <w:t>4%</w:t>
            </w:r>
          </w:p>
        </w:tc>
        <w:tc>
          <w:tcPr>
            <w:tcW w:type="dxa" w:w="2520"/>
          </w:tcPr>
          <w:p>
            <w:r>
              <w:t>包材是否支援食品與流通系統？</w:t>
            </w:r>
          </w:p>
        </w:tc>
      </w:tr>
      <w:tr>
        <w:tc>
          <w:tcPr>
            <w:tcW w:type="dxa" w:w="2520"/>
          </w:tcPr>
          <w:p>
            <w:r>
              <w:t>其他</w:t>
            </w:r>
          </w:p>
        </w:tc>
        <w:tc>
          <w:tcPr>
            <w:tcW w:type="dxa" w:w="2520"/>
          </w:tcPr>
          <w:p>
            <w:r>
              <w:t>70,292 百萬元</w:t>
            </w:r>
          </w:p>
        </w:tc>
        <w:tc>
          <w:tcPr>
            <w:tcW w:type="dxa" w:w="2520"/>
          </w:tcPr>
          <w:p>
            <w:r>
              <w:t>11%</w:t>
            </w:r>
          </w:p>
        </w:tc>
        <w:tc>
          <w:tcPr>
            <w:tcW w:type="dxa" w:w="2520"/>
          </w:tcPr>
          <w:p>
            <w:r>
              <w:t>其他投資是否補強集團場景？</w:t>
            </w:r>
          </w:p>
        </w:tc>
      </w:tr>
    </w:tbl>
    <w:p>
      <w:pPr>
        <w:pStyle w:val="Heading2"/>
      </w:pPr>
      <w:r>
        <w:t>Exhibit 3：統一超 2024 營運規模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</w:tcPr>
          <w:p>
            <w:r>
              <w:t>指標</w:t>
            </w:r>
          </w:p>
        </w:tc>
        <w:tc>
          <w:tcPr>
            <w:tcW w:type="dxa" w:w="3360"/>
          </w:tcPr>
          <w:p>
            <w:r>
              <w:t>數字</w:t>
            </w:r>
          </w:p>
        </w:tc>
        <w:tc>
          <w:tcPr>
            <w:tcW w:type="dxa" w:w="3360"/>
          </w:tcPr>
          <w:p>
            <w:r>
              <w:t>口徑提醒</w:t>
            </w:r>
          </w:p>
        </w:tc>
      </w:tr>
      <w:tr>
        <w:tc>
          <w:tcPr>
            <w:tcW w:type="dxa" w:w="3360"/>
          </w:tcPr>
          <w:p>
            <w:r>
              <w:t>合併營收</w:t>
            </w:r>
          </w:p>
        </w:tc>
        <w:tc>
          <w:tcPr>
            <w:tcW w:type="dxa" w:w="3360"/>
          </w:tcPr>
          <w:p>
            <w:r>
              <w:t>337,932,397 仟元</w:t>
            </w:r>
          </w:p>
        </w:tc>
        <w:tc>
          <w:tcPr>
            <w:tcW w:type="dxa" w:w="3360"/>
          </w:tcPr>
          <w:p>
            <w:r>
              <w:t>統一超合併口徑</w:t>
            </w:r>
          </w:p>
        </w:tc>
      </w:tr>
      <w:tr>
        <w:tc>
          <w:tcPr>
            <w:tcW w:type="dxa" w:w="3360"/>
          </w:tcPr>
          <w:p>
            <w:r>
              <w:t>營業利益</w:t>
            </w:r>
          </w:p>
        </w:tc>
        <w:tc>
          <w:tcPr>
            <w:tcW w:type="dxa" w:w="3360"/>
          </w:tcPr>
          <w:p>
            <w:r>
              <w:t>13,972,735 仟元</w:t>
            </w:r>
          </w:p>
        </w:tc>
        <w:tc>
          <w:tcPr>
            <w:tcW w:type="dxa" w:w="3360"/>
          </w:tcPr>
          <w:p>
            <w:r>
              <w:t>統一超合併口徑</w:t>
            </w:r>
          </w:p>
        </w:tc>
      </w:tr>
      <w:tr>
        <w:tc>
          <w:tcPr>
            <w:tcW w:type="dxa" w:w="3360"/>
          </w:tcPr>
          <w:p>
            <w:r>
              <w:t>本期淨利</w:t>
            </w:r>
          </w:p>
        </w:tc>
        <w:tc>
          <w:tcPr>
            <w:tcW w:type="dxa" w:w="3360"/>
          </w:tcPr>
          <w:p>
            <w:r>
              <w:t>13,741,439 仟元</w:t>
            </w:r>
          </w:p>
        </w:tc>
        <w:tc>
          <w:tcPr>
            <w:tcW w:type="dxa" w:w="3360"/>
          </w:tcPr>
          <w:p>
            <w:r>
              <w:t>統一超合併口徑</w:t>
            </w:r>
          </w:p>
        </w:tc>
      </w:tr>
      <w:tr>
        <w:tc>
          <w:tcPr>
            <w:tcW w:type="dxa" w:w="3360"/>
          </w:tcPr>
          <w:p>
            <w:r>
              <w:t>歸屬母公司淨利</w:t>
            </w:r>
          </w:p>
        </w:tc>
        <w:tc>
          <w:tcPr>
            <w:tcW w:type="dxa" w:w="3360"/>
          </w:tcPr>
          <w:p>
            <w:r>
              <w:t>11,538,923 仟元</w:t>
            </w:r>
          </w:p>
        </w:tc>
        <w:tc>
          <w:tcPr>
            <w:tcW w:type="dxa" w:w="3360"/>
          </w:tcPr>
          <w:p>
            <w:r>
              <w:t>歸屬母公司口徑</w:t>
            </w:r>
          </w:p>
        </w:tc>
      </w:tr>
      <w:tr>
        <w:tc>
          <w:tcPr>
            <w:tcW w:type="dxa" w:w="3360"/>
          </w:tcPr>
          <w:p>
            <w:r>
              <w:t>總店數</w:t>
            </w:r>
          </w:p>
        </w:tc>
        <w:tc>
          <w:tcPr>
            <w:tcW w:type="dxa" w:w="3360"/>
          </w:tcPr>
          <w:p>
            <w:r>
              <w:t>13,125 店</w:t>
            </w:r>
          </w:p>
        </w:tc>
        <w:tc>
          <w:tcPr>
            <w:tcW w:type="dxa" w:w="3360"/>
          </w:tcPr>
          <w:p>
            <w:r>
              <w:t>含旗下子公司與海外/轉投資通路</w:t>
            </w:r>
          </w:p>
        </w:tc>
      </w:tr>
      <w:tr>
        <w:tc>
          <w:tcPr>
            <w:tcW w:type="dxa" w:w="3360"/>
          </w:tcPr>
          <w:p>
            <w:r>
              <w:t>OPENPOINT 會員</w:t>
            </w:r>
          </w:p>
        </w:tc>
        <w:tc>
          <w:tcPr>
            <w:tcW w:type="dxa" w:w="3360"/>
          </w:tcPr>
          <w:p>
            <w:r>
              <w:t>約 1,800 萬人</w:t>
            </w:r>
          </w:p>
        </w:tc>
        <w:tc>
          <w:tcPr>
            <w:tcW w:type="dxa" w:w="3360"/>
          </w:tcPr>
          <w:p>
            <w:r>
              <w:t>會員數不等於活躍會員或網路效應</w:t>
            </w:r>
          </w:p>
        </w:tc>
      </w:tr>
      <w:tr>
        <w:tc>
          <w:tcPr>
            <w:tcW w:type="dxa" w:w="3360"/>
          </w:tcPr>
          <w:p>
            <w:r>
              <w:t>員工數</w:t>
            </w:r>
          </w:p>
        </w:tc>
        <w:tc>
          <w:tcPr>
            <w:tcW w:type="dxa" w:w="3360"/>
          </w:tcPr>
          <w:p>
            <w:r>
              <w:t>46,813 人</w:t>
            </w:r>
          </w:p>
        </w:tc>
        <w:tc>
          <w:tcPr>
            <w:tcW w:type="dxa" w:w="3360"/>
          </w:tcPr>
          <w:p>
            <w:r>
              <w:t>含統一超暨合併子公司</w:t>
            </w:r>
          </w:p>
        </w:tc>
      </w:tr>
    </w:tbl>
    <w:p>
      <w:pPr>
        <w:pStyle w:val="Heading2"/>
      </w:pPr>
      <w:r>
        <w:t>Exhibit 4：LOPIA 交易情境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</w:tcPr>
          <w:p>
            <w:r>
              <w:t>項目</w:t>
            </w:r>
          </w:p>
        </w:tc>
        <w:tc>
          <w:tcPr>
            <w:tcW w:type="dxa" w:w="3360"/>
          </w:tcPr>
          <w:p>
            <w:r>
              <w:t>內容</w:t>
            </w:r>
          </w:p>
        </w:tc>
        <w:tc>
          <w:tcPr>
            <w:tcW w:type="dxa" w:w="3360"/>
          </w:tcPr>
          <w:p>
            <w:r>
              <w:t>口徑提醒</w:t>
            </w:r>
          </w:p>
        </w:tc>
      </w:tr>
      <w:tr>
        <w:tc>
          <w:tcPr>
            <w:tcW w:type="dxa" w:w="3360"/>
          </w:tcPr>
          <w:p>
            <w:r>
              <w:t>交易日</w:t>
            </w:r>
          </w:p>
        </w:tc>
        <w:tc>
          <w:tcPr>
            <w:tcW w:type="dxa" w:w="3360"/>
          </w:tcPr>
          <w:p>
            <w:r>
              <w:t>2026-04-30 董事會通過</w:t>
            </w:r>
          </w:p>
        </w:tc>
        <w:tc>
          <w:tcPr>
            <w:tcW w:type="dxa" w:w="3360"/>
          </w:tcPr>
          <w:p>
            <w:r>
              <w:t>尚未完成交割</w:t>
            </w:r>
          </w:p>
        </w:tc>
      </w:tr>
      <w:tr>
        <w:tc>
          <w:tcPr>
            <w:tcW w:type="dxa" w:w="3360"/>
          </w:tcPr>
          <w:p>
            <w:r>
              <w:t>交易標的</w:t>
            </w:r>
          </w:p>
        </w:tc>
        <w:tc>
          <w:tcPr>
            <w:tcW w:type="dxa" w:w="3360"/>
          </w:tcPr>
          <w:p>
            <w:r>
              <w:t>臺灣零售超市新設公司、臺灣食品加工新設公司</w:t>
            </w:r>
          </w:p>
        </w:tc>
        <w:tc>
          <w:tcPr>
            <w:tcW w:type="dxa" w:w="3360"/>
          </w:tcPr>
          <w:p>
            <w:r>
              <w:t>由 Lopia Co., Ltd. 相關交易揭露</w:t>
            </w:r>
          </w:p>
        </w:tc>
      </w:tr>
      <w:tr>
        <w:tc>
          <w:tcPr>
            <w:tcW w:type="dxa" w:w="3360"/>
          </w:tcPr>
          <w:p>
            <w:r>
              <w:t>擬取得持股</w:t>
            </w:r>
          </w:p>
        </w:tc>
        <w:tc>
          <w:tcPr>
            <w:tcW w:type="dxa" w:w="3360"/>
          </w:tcPr>
          <w:p>
            <w:r>
              <w:t>零售 51%、食品加工 49%</w:t>
            </w:r>
          </w:p>
        </w:tc>
        <w:tc>
          <w:tcPr>
            <w:tcW w:type="dxa" w:w="3360"/>
          </w:tcPr>
          <w:p>
            <w:r>
              <w:t>零售控制權與食品加工參與程度不同</w:t>
            </w:r>
          </w:p>
        </w:tc>
      </w:tr>
      <w:tr>
        <w:tc>
          <w:tcPr>
            <w:tcW w:type="dxa" w:w="3360"/>
          </w:tcPr>
          <w:p>
            <w:r>
              <w:t>交易金額</w:t>
            </w:r>
          </w:p>
        </w:tc>
        <w:tc>
          <w:tcPr>
            <w:tcW w:type="dxa" w:w="3360"/>
          </w:tcPr>
          <w:p>
            <w:r>
              <w:t>日幣 102.72 億元，約新台幣 20.54 億元</w:t>
            </w:r>
          </w:p>
        </w:tc>
        <w:tc>
          <w:tcPr>
            <w:tcW w:type="dxa" w:w="3360"/>
          </w:tcPr>
          <w:p>
            <w:r>
              <w:t>匯率採公告當時說法</w:t>
            </w:r>
          </w:p>
        </w:tc>
      </w:tr>
      <w:tr>
        <w:tc>
          <w:tcPr>
            <w:tcW w:type="dxa" w:w="3360"/>
          </w:tcPr>
          <w:p>
            <w:r>
              <w:t>先決條件</w:t>
            </w:r>
          </w:p>
        </w:tc>
        <w:tc>
          <w:tcPr>
            <w:tcW w:type="dxa" w:w="3360"/>
          </w:tcPr>
          <w:p>
            <w:r>
              <w:t>取得公平會不禁止結合</w:t>
            </w:r>
          </w:p>
        </w:tc>
        <w:tc>
          <w:tcPr>
            <w:tcW w:type="dxa" w:w="3360"/>
          </w:tcPr>
          <w:p>
            <w:r>
              <w:t>本案時間點仍 pending</w:t>
            </w:r>
          </w:p>
        </w:tc>
      </w:tr>
      <w:tr>
        <w:tc>
          <w:tcPr>
            <w:tcW w:type="dxa" w:w="3360"/>
          </w:tcPr>
          <w:p>
            <w:r>
              <w:t>預計交割</w:t>
            </w:r>
          </w:p>
        </w:tc>
        <w:tc>
          <w:tcPr>
            <w:tcW w:type="dxa" w:w="3360"/>
          </w:tcPr>
          <w:p>
            <w:r>
              <w:t>2026 年底</w:t>
            </w:r>
          </w:p>
        </w:tc>
        <w:tc>
          <w:tcPr>
            <w:tcW w:type="dxa" w:w="3360"/>
          </w:tcPr>
          <w:p>
            <w:r>
              <w:t>需追蹤後續公告</w:t>
            </w:r>
          </w:p>
        </w:tc>
      </w:tr>
    </w:tbl>
    <w:p>
      <w:pPr>
        <w:pStyle w:val="Heading2"/>
      </w:pPr>
      <w:r>
        <w:t>Exhibit 5：品牌在地化張力矩陣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</w:tcPr>
          <w:p>
            <w:r>
              <w:t>品牌/事業</w:t>
            </w:r>
          </w:p>
        </w:tc>
        <w:tc>
          <w:tcPr>
            <w:tcW w:type="dxa" w:w="3360"/>
          </w:tcPr>
          <w:p>
            <w:r>
              <w:t>可能的正面綜效</w:t>
            </w:r>
          </w:p>
        </w:tc>
        <w:tc>
          <w:tcPr>
            <w:tcW w:type="dxa" w:w="3360"/>
          </w:tcPr>
          <w:p>
            <w:r>
              <w:t>主要張力</w:t>
            </w:r>
          </w:p>
        </w:tc>
      </w:tr>
      <w:tr>
        <w:tc>
          <w:tcPr>
            <w:tcW w:type="dxa" w:w="3360"/>
          </w:tcPr>
          <w:p>
            <w:r>
              <w:t>7-Eleven</w:t>
            </w:r>
          </w:p>
        </w:tc>
        <w:tc>
          <w:tcPr>
            <w:tcW w:type="dxa" w:w="3360"/>
          </w:tcPr>
          <w:p>
            <w:r>
              <w:t>本地化商品、鮮食、服務與店址密度</w:t>
            </w:r>
          </w:p>
        </w:tc>
        <w:tc>
          <w:tcPr>
            <w:tcW w:type="dxa" w:w="3360"/>
          </w:tcPr>
          <w:p>
            <w:r>
              <w:t>早期虧損、成熟期關店、價格信任</w:t>
            </w:r>
          </w:p>
        </w:tc>
      </w:tr>
      <w:tr>
        <w:tc>
          <w:tcPr>
            <w:tcW w:type="dxa" w:w="3360"/>
          </w:tcPr>
          <w:p>
            <w:r>
              <w:t>家樂福</w:t>
            </w:r>
          </w:p>
        </w:tc>
        <w:tc>
          <w:tcPr>
            <w:tcW w:type="dxa" w:w="3360"/>
          </w:tcPr>
          <w:p>
            <w:r>
              <w:t>量販、超市、生鮮、採購與會員整合</w:t>
            </w:r>
          </w:p>
        </w:tc>
        <w:tc>
          <w:tcPr>
            <w:tcW w:type="dxa" w:w="3360"/>
          </w:tcPr>
          <w:p>
            <w:r>
              <w:t>供貨商待遇、共同採購、市場集中、品牌授權變化</w:t>
            </w:r>
          </w:p>
        </w:tc>
      </w:tr>
      <w:tr>
        <w:tc>
          <w:tcPr>
            <w:tcW w:type="dxa" w:w="3360"/>
          </w:tcPr>
          <w:p>
            <w:r>
              <w:t>星巴克</w:t>
            </w:r>
          </w:p>
        </w:tc>
        <w:tc>
          <w:tcPr>
            <w:tcW w:type="dxa" w:w="3360"/>
          </w:tcPr>
          <w:p>
            <w:r>
              <w:t>門市、會員、聯名與在地經營</w:t>
            </w:r>
          </w:p>
        </w:tc>
        <w:tc>
          <w:tcPr>
            <w:tcW w:type="dxa" w:w="3360"/>
          </w:tcPr>
          <w:p>
            <w:r>
              <w:t>促銷密度與品牌價格定錨</w:t>
            </w:r>
          </w:p>
        </w:tc>
      </w:tr>
      <w:tr>
        <w:tc>
          <w:tcPr>
            <w:tcW w:type="dxa" w:w="3360"/>
          </w:tcPr>
          <w:p>
            <w:r>
              <w:t>Mia C'bon</w:t>
            </w:r>
          </w:p>
        </w:tc>
        <w:tc>
          <w:tcPr>
            <w:tcW w:type="dxa" w:w="3360"/>
          </w:tcPr>
          <w:p>
            <w:r>
              <w:t>高端超市與國際選品</w:t>
            </w:r>
          </w:p>
        </w:tc>
        <w:tc>
          <w:tcPr>
            <w:tcW w:type="dxa" w:w="3360"/>
          </w:tcPr>
          <w:p>
            <w:r>
              <w:t>商圈、租約、坪效與定位壓力</w:t>
            </w:r>
          </w:p>
        </w:tc>
      </w:tr>
      <w:tr>
        <w:tc>
          <w:tcPr>
            <w:tcW w:type="dxa" w:w="3360"/>
          </w:tcPr>
          <w:p>
            <w:r>
              <w:t>康是美</w:t>
            </w:r>
          </w:p>
        </w:tc>
        <w:tc>
          <w:tcPr>
            <w:tcW w:type="dxa" w:w="3360"/>
          </w:tcPr>
          <w:p>
            <w:r>
              <w:t>OPENPOINT 與複合店型綜效</w:t>
            </w:r>
          </w:p>
        </w:tc>
        <w:tc>
          <w:tcPr>
            <w:tcW w:type="dxa" w:w="3360"/>
          </w:tcPr>
          <w:p>
            <w:r>
              <w:t>藥師、人力與服務品質供給</w:t>
            </w:r>
          </w:p>
        </w:tc>
      </w:tr>
      <w:tr>
        <w:tc>
          <w:tcPr>
            <w:tcW w:type="dxa" w:w="3360"/>
          </w:tcPr>
          <w:p>
            <w:r>
              <w:t>LOPIA</w:t>
            </w:r>
          </w:p>
        </w:tc>
        <w:tc>
          <w:tcPr>
            <w:tcW w:type="dxa" w:w="3360"/>
          </w:tcPr>
          <w:p>
            <w:r>
              <w:t>生鮮、熟食、食品加工與日式超市體驗</w:t>
            </w:r>
          </w:p>
        </w:tc>
        <w:tc>
          <w:tcPr>
            <w:tcW w:type="dxa" w:w="3360"/>
          </w:tcPr>
          <w:p>
            <w:r>
              <w:t>交易未完成、品牌原味與統一系統整合張力</w:t>
            </w:r>
          </w:p>
        </w:tc>
      </w:tr>
    </w:tbl>
    <w:p>
      <w:pPr>
        <w:pStyle w:val="Heading2"/>
      </w:pPr>
      <w:r>
        <w:t>Exhibit 6：討論題</w:t>
      </w:r>
    </w:p>
    <w:p>
      <w:pPr>
        <w:pStyle w:val="ListNumber"/>
      </w:pPr>
      <w:r>
        <w:t>統一的範疇經濟是否已被現有資料證明？哪些資料支持，哪些資料仍不足？</w:t>
      </w:r>
    </w:p>
    <w:p>
      <w:pPr>
        <w:pStyle w:val="ListNumber"/>
      </w:pPr>
      <w:r>
        <w:t>家樂福案是否能代表統一固定的合資控制路徑？還是只是特殊案例？</w:t>
      </w:r>
    </w:p>
    <w:p>
      <w:pPr>
        <w:pStyle w:val="ListNumber"/>
      </w:pPr>
      <w:r>
        <w:t>OPENPOINT 會員數對統一代表的是網路效應、轉換成本，還是促銷工具？</w:t>
      </w:r>
    </w:p>
    <w:p>
      <w:pPr>
        <w:pStyle w:val="ListNumber"/>
      </w:pPr>
      <w:r>
        <w:t>若 LOPIA 交易完成，統一應採快速整合、局部共享，還是品牌隔離？</w:t>
      </w:r>
    </w:p>
    <w:p>
      <w:pPr>
        <w:pStyle w:val="ListNumber"/>
      </w:pPr>
      <w:r>
        <w:t>如果你是公平會、供應商、LOPIA 原有顧客或統一股東，你對這筆交易的期待與疑慮各是什麼？</w:t>
      </w:r>
    </w:p>
    <w:p>
      <w:pPr>
        <w:pStyle w:val="Heading2"/>
      </w:pPr>
      <w:r>
        <w:t>資料來源與口徑說明</w:t>
      </w:r>
    </w:p>
    <w:p>
      <w:r>
        <w:t>本案使用的主要公開資料包括 Carrefour 2022 年出售家樂福臺灣公告、Carrefour 2023 年交易完成公告、公平交易委員會家樂福結合案資料、統一企業 2024 年法說會、統一企業 2024 年報、統一超 2024 年報、統一超 2026 年第一季財務報告、OIC Group 官方資料，以及若干商業媒體與主管機關資料。</w:t>
      </w:r>
    </w:p>
    <w:p>
      <w:r>
        <w:t>正式數字以公司公告、年報、法說會與主管機關資料為主。媒體與評論只作為事件背景、品牌張力與待驗證假說，不單獨支撐財務結論。LOPIA 在本案時間點仍為 pending transaction；任何關於整合成效、品牌變味或綜效的討論，皆屬未來決策情境，不是既成事實。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/>
      <w:b/>
      <w:bCs/>
      <w:color w:val="1C211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/>
      <w:b/>
      <w:bCs/>
      <w:color w:val="1C211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JhengHei" w:hAnsi="Microsoft JhengHei"/>
      <w:b/>
      <w:bCs/>
      <w:color w:val="1C211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