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JhengHei" w:hAnsi="Microsoft JhengHei" w:eastAsia="Microsoft JhengHei"/>
          <w:b/>
          <w:color w:val="008F43"/>
          <w:sz w:val="18"/>
        </w:rPr>
        <w:t>WORKSHOP PRACTICE</w:t>
      </w:r>
    </w:p>
    <w:p>
      <w:pPr>
        <w:spacing w:after="80"/>
      </w:pPr>
      <w:r>
        <w:rPr>
          <w:rFonts w:ascii="Microsoft JhengHei" w:hAnsi="Microsoft JhengHei" w:eastAsia="Microsoft JhengHei"/>
          <w:b/>
          <w:color w:val="231815"/>
          <w:sz w:val="50"/>
        </w:rPr>
        <w:t>AI 不懂我們公司的話｜Context 練習</w:t>
      </w:r>
    </w:p>
    <w:p>
      <w:pPr>
        <w:spacing w:after="280"/>
      </w:pPr>
      <w:r>
        <w:rPr>
          <w:rFonts w:ascii="Microsoft JhengHei" w:hAnsi="Microsoft JhengHei" w:eastAsia="Microsoft JhengHei"/>
          <w:b w:val="0"/>
          <w:color w:val="5F6B66"/>
          <w:sz w:val="25"/>
        </w:rPr>
        <w:t>先不解釋，看看 AI 怎麼猜；再補上定義，比較答案差在哪裡。</w:t>
      </w:r>
    </w:p>
    <w:tbl>
      <w:tblPr>
        <w:jc w:val="left"/>
        <w:tblLook w:firstColumn="1" w:firstRow="1" w:lastColumn="0" w:lastRow="0" w:noHBand="0" w:noVBand="1" w:val="04A0"/>
        <w:tblW w:w="9360" w:type="dxa"/>
        <w:tblInd w:w="120" w:type="dxa"/>
        <w:tblLayout w:type="fixed"/>
      </w:tblPr>
      <w:tblGrid>
        <w:gridCol w:w="3120"/>
        <w:gridCol w:w="3120"/>
        <w:gridCol w:w="3120"/>
      </w:tblGrid>
      <w:tr>
        <w:tc>
          <w:tcPr>
            <w:tcW w:type="dxa" w:w="31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008F43"/>
          </w:tcPr>
          <w:p>
            <w:pPr>
              <w:spacing w:after="0"/>
              <w:jc w:val="center"/>
            </w:pPr>
            <w:r>
              <w:rPr>
                <w:rFonts w:ascii="Microsoft JhengHei" w:hAnsi="Microsoft JhengHei" w:eastAsia="Microsoft JhengHei"/>
                <w:b/>
                <w:color w:val="FFFFFF"/>
                <w:sz w:val="18"/>
              </w:rPr>
              <w:t>輸入</w:t>
            </w:r>
          </w:p>
        </w:tc>
        <w:tc>
          <w:tcPr>
            <w:tcW w:type="dxa" w:w="31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008F43"/>
          </w:tcPr>
          <w:p>
            <w:pPr>
              <w:spacing w:after="0"/>
              <w:jc w:val="center"/>
            </w:pPr>
            <w:r>
              <w:rPr>
                <w:rFonts w:ascii="Microsoft JhengHei" w:hAnsi="Microsoft JhengHei" w:eastAsia="Microsoft JhengHei"/>
                <w:b/>
                <w:color w:val="FFFFFF"/>
                <w:sz w:val="18"/>
              </w:rPr>
              <w:t>操作</w:t>
            </w:r>
          </w:p>
        </w:tc>
        <w:tc>
          <w:tcPr>
            <w:tcW w:type="dxa" w:w="31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008F43"/>
          </w:tcPr>
          <w:p>
            <w:pPr>
              <w:spacing w:after="0"/>
              <w:jc w:val="center"/>
            </w:pPr>
            <w:r>
              <w:rPr>
                <w:rFonts w:ascii="Microsoft JhengHei" w:hAnsi="Microsoft JhengHei" w:eastAsia="Microsoft JhengHei"/>
                <w:b/>
                <w:color w:val="FFFFFF"/>
                <w:sz w:val="18"/>
              </w:rPr>
              <w:t>產出</w:t>
            </w:r>
          </w:p>
        </w:tc>
      </w:tr>
      <w:tr>
        <w:tc>
          <w:tcPr>
            <w:tcW w:type="dxa" w:w="31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  <w:jc w:val="center"/>
            </w:pPr>
            <w:r>
              <w:rPr>
                <w:rFonts w:ascii="Microsoft JhengHei" w:hAnsi="Microsoft JhengHei" w:eastAsia="Microsoft JhengHei"/>
                <w:b/>
                <w:color w:val="231815"/>
                <w:sz w:val="21"/>
              </w:rPr>
              <w:t>專案名與內部稱呼</w:t>
            </w:r>
          </w:p>
        </w:tc>
        <w:tc>
          <w:tcPr>
            <w:tcW w:type="dxa" w:w="31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  <w:jc w:val="center"/>
            </w:pPr>
            <w:r>
              <w:rPr>
                <w:rFonts w:ascii="Microsoft JhengHei" w:hAnsi="Microsoft JhengHei" w:eastAsia="Microsoft JhengHei"/>
                <w:b/>
                <w:color w:val="231815"/>
                <w:sz w:val="21"/>
              </w:rPr>
              <w:t>先猜再補 Context</w:t>
            </w:r>
          </w:p>
        </w:tc>
        <w:tc>
          <w:tcPr>
            <w:tcW w:type="dxa" w:w="31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  <w:jc w:val="center"/>
            </w:pPr>
            <w:r>
              <w:rPr>
                <w:rFonts w:ascii="Microsoft JhengHei" w:hAnsi="Microsoft JhengHei" w:eastAsia="Microsoft JhengHei"/>
                <w:b/>
                <w:color w:val="231815"/>
                <w:sz w:val="21"/>
              </w:rPr>
              <w:t>可重複使用的小型詞彙表</w:t>
            </w:r>
          </w:p>
        </w:tc>
      </w:tr>
    </w:tbl>
    <w:p>
      <w:pPr>
        <w:spacing w:after="0"/>
      </w:pPr>
    </w:p>
    <w:p>
      <w:pPr>
        <w:pStyle w:val="Heading1"/>
      </w:pPr>
      <w:r>
        <w:t>第一輪｜先讓 AI 猜</w:t>
      </w:r>
    </w:p>
    <w:p>
      <w:pPr>
        <w:pStyle w:val="Heading2"/>
      </w:pPr>
      <w:r>
        <w:t>可以直接使用的 Prompt</w:t>
      </w:r>
    </w:p>
    <w:tbl>
      <w:tblPr>
        <w:jc w:val="left"/>
        <w:tblLook w:firstColumn="1" w:firstRow="1" w:lastColumn="0" w:lastRow="0" w:noHBand="0" w:noVBand="1" w:val="04A0"/>
        <w:tblW w:w="9360" w:type="dxa"/>
        <w:tblInd w:w="120" w:type="dxa"/>
        <w:tblLayout w:type="fixed"/>
      </w:tblPr>
      <w:tblGrid>
        <w:gridCol w:w="9360"/>
      </w:tblGrid>
      <w:tr>
        <w:tc>
          <w:tcPr>
            <w:tcW w:type="dxa" w:w="9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F5FAF7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請說明下列名稱在我們的工作裡可能代表什麼，並告訴我明天應先處理哪一項：晨光專案、K2 清單、服務回看日、藍標客群。</w:t>
            </w:r>
          </w:p>
        </w:tc>
      </w:tr>
    </w:tbl>
    <w:p>
      <w:pPr>
        <w:spacing w:after="0"/>
      </w:pPr>
    </w:p>
    <w:p>
      <w:pPr>
        <w:pStyle w:val="Heading1"/>
      </w:pPr>
      <w:r>
        <w:t>記下它猜了什麼</w:t>
      </w:r>
    </w:p>
    <w:tbl>
      <w:tblPr>
        <w:jc w:val="left"/>
        <w:tblLook w:firstColumn="1" w:firstRow="1" w:lastColumn="0" w:lastRow="0" w:noHBand="0" w:noVBand="1" w:val="04A0"/>
        <w:tblW w:w="9360" w:type="dxa"/>
        <w:tblInd w:w="120" w:type="dxa"/>
        <w:tblLayout w:type="fixed"/>
      </w:tblPr>
      <w:tblGrid>
        <w:gridCol w:w="2700"/>
        <w:gridCol w:w="6660"/>
      </w:tblGrid>
      <w:tr>
        <w:trPr>
          <w:tblHeader w:val="true"/>
        </w:trP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008F43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/>
                <w:color w:val="FFFFFF"/>
                <w:sz w:val="20"/>
              </w:rPr>
              <w:t>詞彙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008F43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/>
                <w:color w:val="FFFFFF"/>
                <w:sz w:val="20"/>
              </w:rPr>
              <w:t>AI 第一次的解釋</w:t>
            </w:r>
          </w:p>
        </w:tc>
      </w:tr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/>
                <w:color w:val="008F43"/>
                <w:sz w:val="21"/>
              </w:rPr>
              <w:t>晨光專案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____________________________________________</w:t>
            </w:r>
          </w:p>
        </w:tc>
      </w:tr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/>
                <w:color w:val="008F43"/>
                <w:sz w:val="21"/>
              </w:rPr>
              <w:t>K2 清單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____________________________________________</w:t>
            </w:r>
          </w:p>
        </w:tc>
      </w:tr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/>
                <w:color w:val="008F43"/>
                <w:sz w:val="21"/>
              </w:rPr>
              <w:t>服務回看日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____________________________________________</w:t>
            </w:r>
          </w:p>
        </w:tc>
      </w:tr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/>
                <w:color w:val="008F43"/>
                <w:sz w:val="21"/>
              </w:rPr>
              <w:t>藍標客群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____________________________________________</w:t>
            </w:r>
          </w:p>
        </w:tc>
      </w:tr>
    </w:tbl>
    <w:p>
      <w:pPr>
        <w:spacing w:after="0"/>
      </w:pPr>
    </w:p>
    <w:p>
      <w:pPr>
        <w:pStyle w:val="Heading1"/>
      </w:pPr>
      <w:r>
        <w:t>第二輪｜把公司 Context 補進去</w:t>
      </w:r>
    </w:p>
    <w:tbl>
      <w:tblPr>
        <w:jc w:val="left"/>
        <w:tblLook w:firstColumn="1" w:firstRow="1" w:lastColumn="0" w:lastRow="0" w:noHBand="0" w:noVBand="1" w:val="04A0"/>
        <w:tblW w:w="9360" w:type="dxa"/>
        <w:tblInd w:w="120" w:type="dxa"/>
        <w:tblLayout w:type="fixed"/>
      </w:tblPr>
      <w:tblGrid>
        <w:gridCol w:w="2700"/>
        <w:gridCol w:w="6660"/>
      </w:tblGrid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/>
                <w:color w:val="008F43"/>
                <w:sz w:val="21"/>
              </w:rPr>
              <w:t>晨光專案代表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____________________________________________</w:t>
            </w:r>
          </w:p>
        </w:tc>
      </w:tr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/>
                <w:color w:val="008F43"/>
                <w:sz w:val="21"/>
              </w:rPr>
              <w:t>K2 清單用途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____________________________________________</w:t>
            </w:r>
          </w:p>
        </w:tc>
      </w:tr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/>
                <w:color w:val="008F43"/>
                <w:sz w:val="21"/>
              </w:rPr>
              <w:t>服務回看日規則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____________________________________________</w:t>
            </w:r>
          </w:p>
        </w:tc>
      </w:tr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/>
                <w:color w:val="008F43"/>
                <w:sz w:val="21"/>
              </w:rPr>
              <w:t>藍標客群定義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____________________________________________</w:t>
            </w:r>
          </w:p>
        </w:tc>
      </w:tr>
    </w:tbl>
    <w:p>
      <w:pPr>
        <w:spacing w:after="0"/>
      </w:pPr>
    </w:p>
    <w:p>
      <w:pPr>
        <w:pStyle w:val="Heading2"/>
      </w:pPr>
      <w:r>
        <w:t>補完 Context 後再問</w:t>
      </w:r>
    </w:p>
    <w:tbl>
      <w:tblPr>
        <w:jc w:val="left"/>
        <w:tblLook w:firstColumn="1" w:firstRow="1" w:lastColumn="0" w:lastRow="0" w:noHBand="0" w:noVBand="1" w:val="04A0"/>
        <w:tblW w:w="9360" w:type="dxa"/>
        <w:tblInd w:w="120" w:type="dxa"/>
        <w:tblLayout w:type="fixed"/>
      </w:tblPr>
      <w:tblGrid>
        <w:gridCol w:w="9360"/>
      </w:tblGrid>
      <w:tr>
        <w:tc>
          <w:tcPr>
            <w:tcW w:type="dxa" w:w="9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F5FAF7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以上是這些詞在我們工作中的定義。請只依這份詞彙表重新整理明天的處理順序；若仍有資訊不足，請先列出要確認的問題，不要再猜。</w:t>
            </w:r>
          </w:p>
        </w:tc>
      </w:tr>
    </w:tbl>
    <w:p>
      <w:pPr>
        <w:spacing w:after="0"/>
      </w:pPr>
    </w:p>
    <w:p>
      <w:pPr>
        <w:pStyle w:val="Heading1"/>
      </w:pPr>
      <w:r>
        <w:t>帶走的方法</w:t>
      </w:r>
    </w:p>
    <w:p>
      <w:pPr>
        <w:spacing w:after="120"/>
      </w:pPr>
      <w:r>
        <w:rPr>
          <w:rFonts w:ascii="Microsoft JhengHei" w:hAnsi="Microsoft JhengHei" w:eastAsia="Microsoft JhengHei"/>
          <w:b/>
          <w:color w:val="008F43"/>
          <w:sz w:val="22"/>
        </w:rPr>
        <w:t>一般常識不能取代公司的工作背景；專有名詞要有定義、用途和必要的例子。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81" w:right="1267" w:bottom="1123" w:left="1267" w:header="518" w:footer="51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Microsoft JhengHei" w:hAnsi="Microsoft JhengHei" w:eastAsia="Microsoft JhengHei"/>
        <w:b w:val="0"/>
        <w:color w:val="5F6B66"/>
        <w:sz w:val="18"/>
      </w:rPr>
      <w:t xml:space="preserve">第 </w:t>
    </w:r>
    <w:r>
      <w:fldChar w:fldCharType="begin"/>
      <w:instrText xml:space="preserve"> PAGE </w:instrText>
      <w:fldChar w:fldCharType="separate"/>
      <w:t>1</w:t>
      <w:fldChar w:fldCharType="end"/>
    </w:r>
    <w:r>
      <w:rPr>
        <w:rFonts w:ascii="Microsoft JhengHei" w:hAnsi="Microsoft JhengHei" w:eastAsia="Microsoft JhengHei"/>
        <w:b w:val="0"/>
        <w:color w:val="5F6B66"/>
        <w:sz w:val="18"/>
      </w:rPr>
      <w:t xml:space="preserve"> 頁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Microsoft JhengHei" w:hAnsi="Microsoft JhengHei" w:eastAsia="Microsoft JhengHei"/>
        <w:b/>
        <w:color w:val="5F6B66"/>
        <w:sz w:val="18"/>
      </w:rPr>
      <w:t>國泰世華 AI Agent 課程 V4｜課堂練習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Microsoft JhengHei" w:hAnsi="Microsoft JhengHei" w:eastAsia="Microsoft JhengHei"/>
      <w:color w:val="231815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008F43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008F43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231815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